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Венцислав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27.8.1964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0887628682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Nenov.Mincho@villeroy-boch.com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