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Спас Спасов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9.3.2026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