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Krawiec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radekrawiec@interia.pl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+48505778772 ,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Filip Krawiec</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Oskar Kazmierski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29.05.2014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Julia Nowak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25.11.2014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