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inez.bujanowska@o2.pl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+48537490002 ,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Bujanowska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Jasmina Szymańska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30.01.2016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Oliwka Bujanowska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05.05.2010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Aleksander Bujanowski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15.11.2022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