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James Custodio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jamescustodio62@gmail.com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+639951853097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02/06/2000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Makati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Makati City, Metro Manila, Philippines Makati City, Metro Manila, Philippines 1211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Patrick Sen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+639171103252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