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Йордан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Даскалов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jordan.daskalov@gmail.com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+359888445243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18.3.1982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Лъчезар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17.3.2011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