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Dídac Llamas Martinez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49346826G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Guillem Llamas Martínez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31/3/2009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Dídac Llamas Martinez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28/2/2026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