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Ścieszko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scieszko@gmail.com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+48604333107 ,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Ścieszko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Pola Helbik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25.01.2018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Ścieszko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Klara Kowalczyk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30.03.2018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