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Dolot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kingadolot15@gmail.com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+48793550005 ,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Wiktoria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25.06.2013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Alicja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01.09.2015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