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Claudia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Schmitz-Salue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15637899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Dachenhausenstraße, Hannover, Deutschland Hannover, Deutschland 30169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Hannover,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30169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c.salue@gmx.de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+4915123668818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