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Пелтеков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+3590887933385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petar.peltekov@gmail.com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8.10.1987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