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Grosicka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magdalena_77@wp.pl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+48733053410 ,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Natasza Grosicka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31.12.2009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Wojciech Szewc</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18.11.2009</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Oliwia Kobierska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23.07.2009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Krystian Skonieczny</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09.12.2009</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Ewa Mikuła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02.01.2009</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Jakub Prochoń</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01.08.2008</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