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+359892928585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todies@abv.bg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Миланов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Йордан Миланов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Рачев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10.11.2014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