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Lauren</w:t>
      </w:r>
      <w:r w:rsidR="00405CC1">
        <w:t xml:space="preserve"> </w:t>
      </w:r>
      <w:r w:rsidRPr="00405CC1" w:rsidR="00405CC1">
        <w:t>Louw</w:t>
      </w:r>
    </w:p>
    <w:p w:rsidRPr="00BF6E37" w:rsidR="00BF6E37" w:rsidP="00795766" w:rsidRDefault="00BF6E37" w14:paraId="2A1E2765" w14:textId="58DC0E71">
      <w:pPr>
        <w:jc w:val="both"/>
      </w:pPr>
      <w:r w:rsidRPr="00BF6E37">
        <w:rPr>
          <w:b/>
          <w:bCs/>
        </w:rPr>
        <w:t>ID NUMBER:</w:t>
      </w:r>
      <w:r w:rsidRPr="00BF6E37">
        <w:t xml:space="preserve"> </w:t>
      </w:r>
      <w:r w:rsidRPr="001B39C6" w:rsidR="001B39C6">
        <w:t>9908150083082</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2026/03/14</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