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Kałużna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pk.kaluzna@gmail.com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+48669034071 ,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Roksana Kunka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Szymczyk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03.03.2014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 Kozłowska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26.02.2014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