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Velychko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welychko88@gmail.com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+48574928507 ,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Yelyzaveta Velychko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Daria Storozhuk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22.08.2012</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Ania Halimurka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31.12.2012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Olha Kozlenko</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20.07.2013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