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7.3.2026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Даниела  Тодорова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29.11.1974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Даниела  Тодорова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danytodorova1@gmail.com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+359888965179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7.3.2026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