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Бошнакова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20.5.1998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+359884835655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iva.boshakova@abv.bg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Моника Белчева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Габриел Буюклиев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17.6.2020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