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François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Gras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200394152833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18/9/1997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40 Rue Bourdignon, Saint-Maur-des-Fossés,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+33663251244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francois.grasdu94@gmail.com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6/3/2026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6/3/2026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François Gras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