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Bielicz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aneta.bie@wp.pl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+48504170549 ,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Hrychorczuk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Marianna kądziela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16.05.2016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