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01/03/2026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Joao  Santos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02/06/1998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231316526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jp.f.s@hotmail.com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+351932861191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