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Tobias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Geißler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+491777821757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05/08/1992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LL70455M27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mail@geissler-tobias.de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24116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03/03/2026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Tobias Geißler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