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Petar Stoev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27.7.1998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+3590882377727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stoev.07@abv.bg</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22.3.2026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