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Никола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Атанасов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3.12.1981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+359888977614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nikola_atanasov@abv.bg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Марина Атанасова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27.11.2015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Теодора Атанасова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12.10.2019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София Атанасова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17.10.2021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