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Kowalczyk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artur.k8717@gmail.com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+48660512569 ,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Jan Kowalczyk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01.07.2014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Stanisław Mankiewicz</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15.05.2014</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