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30.5.1986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+359887549794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anigo@abv.bg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Станислава Дечева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Ивайла Дечева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2.12.2020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Никол Георгиева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14.10.2014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