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+359893700536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loraalexandrova79@gmail.com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