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honorka256@gmail.com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+48517258524 ,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Wesolowski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Maria karpik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17.11.2015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Was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Sandor szperna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20.04.2011</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karpik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04.12.2019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Sergiusz szperna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25.03.2016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