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Andrea      Fiorentino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01/08/1998   numero di telefono:     +393312615661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sasso.carta.forbice.win@gmail.com      Indirizzo: Via Saverio Mercadante, Aprilia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FRNNDR98M01M289Y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Andrea      Fiorentino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