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De nitto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31/07/1985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+390464531930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marnitto@hotmail.it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Emanuele  </w:t>
      </w:r>
      <w:r w:rsidRPr="004F7801" w:rsidR="004F7801">
        <w:rPr>
          <w:color w:val="000000" w:themeColor="text1"/>
        </w:rPr>
        <w:t>De NITTO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07/07/2016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Ginevra </w:t>
      </w:r>
      <w:r w:rsidRPr="00107DE0" w:rsidR="00107DE0">
        <w:rPr>
          <w:color w:val="000000" w:themeColor="text1"/>
        </w:rPr>
        <w:t>De NITTO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05/01/2021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