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Дилян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Недялков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+359885072275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dilqn.nedqlkov@abv.bg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Недялкова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Даная Маркова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