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Dentkiewicz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odentkiewicz@gmail.com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+48660938908 ,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Anastazja Wrońska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23.07.2008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Oskar Wiernicki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24.04.2009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