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+393450932177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+393450932177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fabiomatic99@gmail.com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fabiomatic99@gmail.com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12/07/1999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12/07/1999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Fabio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Veronese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Fabio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Veronese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Maestro Ardizzone, 8, Grezzana, VR, Italia Grezzana, VR,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Maestro Ardizzone, 8, Grezzana, VR, Italia Grezzana, VR,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10/03/2026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