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Arendt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piotr.arendt@gmail.com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+48608164888 ,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Arendt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Zosia Wrzeszcz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Adam Wrzeszcz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13.04.2013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