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piotrowska.klin@gmail.com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+48725369595 ,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Klin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Klin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