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chmielewska.karolina@onet.pl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+48504987903 ,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Róża Chmielewska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Rybiałek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Ignacy Józefczyk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09.04.2017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