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Белла  Борисова</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3.2.1978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+359882973617</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bell.1@mail.bg</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17.3.2026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