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Таня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Гаджева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16.12.1987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+359878966130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taniaveselinova@gmail.com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Иван Гаджев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Теодора Гаджева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9.2.2018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