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chmielewska.karolina@onet.pl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+48535321678 ,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Jeremi Chmielewski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Ociepa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Mikołaj Tyrlik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29.06.2017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