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Данаилов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+359897308802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supermario862@abv.bg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Theodora danailova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