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Gawrysiak Kołos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paulina.gawrysiak@gmail.com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+48887102354 ,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ALEKSANDRA KOŁOS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17.03.2014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Barbara Efimov</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09.02.2012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Maria Marcińczak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29.04.2014</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