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Ziemkiewicz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ziemkiewicz_lukas@gmail.com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+48530917726 ,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Stanislaw Ziemkiewicz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Mikołaj Sochacki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19.07.2016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Wojtek ziemkiewicz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Kacper Skibiński</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05.05.2016</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Antoni Kotlowski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13.05.2016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Franek niznik</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09.09.2017</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