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Andreas Wilhelm</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10.04.1975</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Speiertsgasse, Herxheim bei Landau/Pfalz,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andi.metze111@gmail.com</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+4901631439183</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Mia</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Wilhelm</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23.06.2009</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Lina</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Wilhelm</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31.03.2007</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08.03.2026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08.03.2026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08.03.2026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08.03.2026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