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Andrea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Garcia Gonzalez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+34646207578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15/11/1979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50322088C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andreanorai@gamil.com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2705-047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Andrea Garcia Gonzalez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