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Strachowski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gosza12@op.pl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+48600320300 ,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strachowska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Maksymilian strachowski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29.10.2018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Kalina wlazlowicz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03.03.2017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