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Matteo      D'auria</w:t>
      </w:r>
      <w:bookmarkStart w:name="_Hlk155268537" w:id="0"/>
      <w:bookmarkEnd w:id="0"/>
    </w:p>
    <w:p w:rsidR="00335FF5" w:rsidRDefault="00000000" w14:paraId="4C3C40DD" w14:textId="77777777">
      <w:pPr>
        <w:pStyle w:val="wStandard"/>
      </w:pPr>
      <w:r>
        <w:t xml:space="preserve">Nato il 07/06/1988   </w:t>
      </w:r>
      <w:r>
        <w:rPr>
          <w:sz w:val="24"/>
        </w:rPr>
        <w:t>numero di telefono</w:t>
      </w:r>
      <w:r>
        <w:t xml:space="preserve">     +393408817531</w:t>
      </w:r>
    </w:p>
    <w:p w:rsidR="00335FF5" w:rsidRDefault="00000000" w14:paraId="3E9130B5" w14:textId="77777777">
      <w:pPr>
        <w:pStyle w:val="wStandard"/>
      </w:pPr>
      <w:r>
        <w:t xml:space="preserve">e-mail matteodauria1988@gmail.com      </w:t>
      </w:r>
      <w:r>
        <w:rPr>
          <w:sz w:val="24"/>
        </w:rPr>
        <w:t>e residente in</w:t>
      </w:r>
      <w:r>
        <w:t xml:space="preserve"> Via Daniele Manin, 6, Aprilia LT, Italia  </w:t>
      </w:r>
    </w:p>
    <w:p w:rsidR="00335FF5" w:rsidRDefault="00000000" w14:paraId="63066219" w14:textId="77777777">
      <w:pPr>
        <w:pStyle w:val="wStandard"/>
      </w:pPr>
      <w:r>
        <w:t>,Codice Fiscale:    DRAMTT88H07E958Y</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Emily  , Nato il 10/02/2020 , </w:t>
      </w:r>
    </w:p>
    <w:p w:rsidR="00335FF5" w:rsidRDefault="00000000" w14:paraId="35388AE5" w14:textId="77777777">
      <w:pPr>
        <w:pStyle w:val="wP11"/>
      </w:pPr>
      <w:r>
        <w:rPr>
          <w:sz w:val="24"/>
        </w:rPr>
        <w:t>Luogo di nascita del minore:</w:t>
      </w:r>
      <w:r>
        <w:t xml:space="preserve"> Aprilia</w:t>
      </w:r>
    </w:p>
    <w:p w:rsidR="00335FF5" w:rsidRDefault="00000000" w14:paraId="55353414" w14:textId="77777777">
      <w:pPr>
        <w:pStyle w:val="wP11"/>
      </w:pPr>
      <w:r>
        <w:t>Codice fiscale del minore: DRAMLY20B50A341J</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Matteo      D'auria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