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Soinel Romero</w:t>
      </w:r>
    </w:p>
    <w:p w:rsidRPr="006C72AA" w:rsidR="00636F2B" w:rsidP="00636F2B" w:rsidRDefault="00425696" w14:paraId="09AFCD47" w14:textId="72B37017">
      <w:r w:rsidRPr="006C72AA">
        <w:t xml:space="preserve">Address: </w:t>
      </w:r>
      <w:r w:rsidRPr="006C72AA" w:rsidR="00636F2B">
        <w:t>36 Shanley Street, Pascoe Vale VIC, Australia Melbourne VIC, Australia 3044</w:t>
      </w:r>
    </w:p>
    <w:p w:rsidRPr="006C72AA" w:rsidR="00636F2B" w:rsidP="00636F2B" w:rsidRDefault="00425696" w14:paraId="11D17EA6" w14:textId="551720AB">
      <w:r w:rsidRPr="006C72AA">
        <w:t xml:space="preserve">Phone: </w:t>
      </w:r>
      <w:r w:rsidRPr="006C72AA" w:rsidR="00636F2B">
        <w:t>+610401425550</w:t>
      </w:r>
    </w:p>
    <w:p w:rsidRPr="006C72AA" w:rsidR="00636F2B" w:rsidP="00636F2B" w:rsidRDefault="00425696" w14:paraId="263A7D34" w14:textId="284D449B">
      <w:r w:rsidRPr="006C72AA">
        <w:t xml:space="preserve">Email: </w:t>
      </w:r>
      <w:r w:rsidRPr="006C72AA" w:rsidR="00636F2B">
        <w:t>popoyaromero@gmail.com</w:t>
      </w:r>
    </w:p>
    <w:p w:rsidRPr="006C72AA" w:rsidR="00636F2B" w:rsidP="00636F2B" w:rsidRDefault="00425696" w14:paraId="22E4FE1E" w14:textId="10F05D33">
      <w:r w:rsidRPr="006C72AA">
        <w:t xml:space="preserve">Date of birth: </w:t>
      </w:r>
      <w:r w:rsidRPr="006C72AA" w:rsidR="00636F2B">
        <w:t>17/04/2000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Soinel Romero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4/04/2026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