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Kłys cieślak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klysia23@wp.pl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+48506500124 ,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cieślak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Izabela i Filip jaworscy</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18.03.2016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cieślak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19.09.2018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Julia Bocheńska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16.06.2016</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Stanisław Wierzchowski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03.11.2016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Timur orchenko</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06.08.2016</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