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Bajkowski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erbit@interia.pl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+48515955529 ,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Bajkowski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Oliwier bajkowski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07.01.2016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subdzia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10.06.2014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Filip begale krol</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27.04.2018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