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Arya Mustafa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08/04/2026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